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BF7C32" w14:textId="5E29DD8B" w:rsidR="0053310C" w:rsidRDefault="0053310C" w:rsidP="0053310C">
      <w:pPr>
        <w:jc w:val="center"/>
        <w:rPr>
          <w:b/>
          <w:bCs/>
          <w:sz w:val="32"/>
          <w:szCs w:val="32"/>
          <w:lang w:val="en-GB"/>
        </w:rPr>
      </w:pPr>
      <w:r w:rsidRPr="0053310C">
        <w:rPr>
          <w:b/>
          <w:bCs/>
          <w:sz w:val="24"/>
          <w:szCs w:val="24"/>
          <w:lang w:val="en-US"/>
        </w:rPr>
        <w:t>Seminar at Center for Advanced Technology, Laboratory of Applied Biotechnology</w:t>
      </w:r>
      <w:r w:rsidRPr="0053310C">
        <w:rPr>
          <w:b/>
          <w:bCs/>
          <w:sz w:val="24"/>
          <w:szCs w:val="24"/>
          <w:lang w:val="en-US"/>
        </w:rPr>
        <w:br/>
        <w:t>Adam Mickiewicz University, Poznan, 20 April 2023</w:t>
      </w:r>
      <w:r w:rsidRPr="0053310C">
        <w:rPr>
          <w:sz w:val="24"/>
          <w:szCs w:val="24"/>
          <w:lang w:val="en-US"/>
        </w:rPr>
        <w:br/>
      </w:r>
      <w:r w:rsidRPr="00546DFE">
        <w:rPr>
          <w:lang w:val="en-US"/>
        </w:rPr>
        <w:br/>
      </w:r>
      <w:bookmarkStart w:id="0" w:name="_Hlk132269379"/>
      <w:r>
        <w:rPr>
          <w:b/>
          <w:bCs/>
          <w:noProof/>
          <w:lang w:val="en-GB"/>
        </w:rPr>
        <w:drawing>
          <wp:inline distT="0" distB="0" distL="0" distR="0" wp14:anchorId="2737C4EE" wp14:editId="1A4113E8">
            <wp:extent cx="1476375" cy="1919937"/>
            <wp:effectExtent l="0" t="0" r="0" b="444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0084" cy="1924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52F0C0B" w14:textId="7A7507E2" w:rsidR="0053310C" w:rsidRDefault="0053310C" w:rsidP="0053310C">
      <w:pPr>
        <w:jc w:val="center"/>
        <w:rPr>
          <w:b/>
          <w:bCs/>
          <w:sz w:val="32"/>
          <w:szCs w:val="32"/>
          <w:lang w:val="en-GB"/>
        </w:rPr>
      </w:pPr>
      <w:r>
        <w:rPr>
          <w:b/>
          <w:bCs/>
          <w:sz w:val="32"/>
          <w:szCs w:val="32"/>
          <w:lang w:val="en-GB"/>
        </w:rPr>
        <w:t xml:space="preserve">Prof. </w:t>
      </w:r>
      <w:r w:rsidRPr="00EB1772">
        <w:rPr>
          <w:b/>
          <w:bCs/>
          <w:sz w:val="32"/>
          <w:szCs w:val="32"/>
          <w:lang w:val="en-GB"/>
        </w:rPr>
        <w:t xml:space="preserve">Florian </w:t>
      </w:r>
      <w:proofErr w:type="spellStart"/>
      <w:r w:rsidRPr="00EB1772">
        <w:rPr>
          <w:b/>
          <w:bCs/>
          <w:sz w:val="32"/>
          <w:szCs w:val="32"/>
          <w:lang w:val="en-GB"/>
        </w:rPr>
        <w:t>Rüker</w:t>
      </w:r>
      <w:bookmarkEnd w:id="0"/>
      <w:proofErr w:type="spellEnd"/>
      <w:r w:rsidRPr="00546DFE">
        <w:rPr>
          <w:lang w:val="en-GB"/>
        </w:rPr>
        <w:br/>
      </w:r>
      <w:r w:rsidRPr="00546DFE">
        <w:rPr>
          <w:lang w:val="en-GB"/>
        </w:rPr>
        <w:br/>
        <w:t xml:space="preserve">BOKU - Universität </w:t>
      </w:r>
      <w:proofErr w:type="spellStart"/>
      <w:r w:rsidRPr="00546DFE">
        <w:rPr>
          <w:lang w:val="en-GB"/>
        </w:rPr>
        <w:t>für</w:t>
      </w:r>
      <w:proofErr w:type="spellEnd"/>
      <w:r w:rsidRPr="00546DFE">
        <w:rPr>
          <w:lang w:val="en-GB"/>
        </w:rPr>
        <w:t xml:space="preserve"> </w:t>
      </w:r>
      <w:proofErr w:type="spellStart"/>
      <w:r w:rsidRPr="00546DFE">
        <w:rPr>
          <w:lang w:val="en-GB"/>
        </w:rPr>
        <w:t>Bodenkultur</w:t>
      </w:r>
      <w:proofErr w:type="spellEnd"/>
      <w:r w:rsidRPr="00546DFE">
        <w:rPr>
          <w:lang w:val="en-GB"/>
        </w:rPr>
        <w:t>, Wien</w:t>
      </w:r>
      <w:r w:rsidRPr="00546DFE">
        <w:rPr>
          <w:lang w:val="en-US"/>
        </w:rPr>
        <w:br/>
      </w:r>
      <w:r w:rsidRPr="00546DFE">
        <w:rPr>
          <w:lang w:val="en-GB"/>
        </w:rPr>
        <w:t>University of Natural Resources and Life Sciences, Vienna</w:t>
      </w:r>
      <w:r w:rsidRPr="00546DFE">
        <w:rPr>
          <w:lang w:val="en-US"/>
        </w:rPr>
        <w:br/>
      </w:r>
      <w:r w:rsidRPr="00546DFE">
        <w:rPr>
          <w:lang w:val="en-GB"/>
        </w:rPr>
        <w:br/>
        <w:t>Department of Biotechnology</w:t>
      </w:r>
      <w:r w:rsidRPr="00546DFE">
        <w:rPr>
          <w:lang w:val="en-US"/>
        </w:rPr>
        <w:br/>
      </w:r>
      <w:r w:rsidRPr="00546DFE">
        <w:rPr>
          <w:lang w:val="en-GB"/>
        </w:rPr>
        <w:t>Institute of Molecular Biotechnology</w:t>
      </w:r>
      <w:r w:rsidRPr="00546DFE">
        <w:rPr>
          <w:lang w:val="en-US"/>
        </w:rPr>
        <w:t xml:space="preserve"> </w:t>
      </w:r>
      <w:r w:rsidRPr="00546DFE">
        <w:rPr>
          <w:lang w:val="en-US"/>
        </w:rPr>
        <w:br/>
      </w:r>
      <w:r w:rsidRPr="00546DFE">
        <w:rPr>
          <w:lang w:val="en-US"/>
        </w:rPr>
        <w:br/>
        <w:t>Co-founder of F-star Therapeutics</w:t>
      </w:r>
    </w:p>
    <w:p w14:paraId="556210C0" w14:textId="7D2A91FA" w:rsidR="0053310C" w:rsidRDefault="0053310C" w:rsidP="0053310C">
      <w:pPr>
        <w:jc w:val="center"/>
        <w:rPr>
          <w:b/>
          <w:bCs/>
          <w:sz w:val="32"/>
          <w:szCs w:val="32"/>
          <w:lang w:val="en-GB"/>
        </w:rPr>
      </w:pPr>
      <w:r w:rsidRPr="00EB1772">
        <w:rPr>
          <w:b/>
          <w:bCs/>
          <w:sz w:val="32"/>
          <w:szCs w:val="32"/>
          <w:lang w:val="en-GB"/>
        </w:rPr>
        <w:t>Antibodies the other way round</w:t>
      </w:r>
    </w:p>
    <w:p w14:paraId="0B564423" w14:textId="07F71267" w:rsidR="0053310C" w:rsidRDefault="0053310C" w:rsidP="0053310C">
      <w:pPr>
        <w:jc w:val="center"/>
        <w:rPr>
          <w:lang w:val="en-US"/>
        </w:rPr>
      </w:pPr>
      <w:r w:rsidRPr="004C061B">
        <w:rPr>
          <w:noProof/>
        </w:rPr>
        <w:drawing>
          <wp:anchor distT="0" distB="0" distL="114300" distR="114300" simplePos="0" relativeHeight="251658240" behindDoc="0" locked="0" layoutInCell="1" allowOverlap="1" wp14:anchorId="552CF3FE" wp14:editId="2C899D4F">
            <wp:simplePos x="0" y="0"/>
            <wp:positionH relativeFrom="margin">
              <wp:align>left</wp:align>
            </wp:positionH>
            <wp:positionV relativeFrom="paragraph">
              <wp:posOffset>198755</wp:posOffset>
            </wp:positionV>
            <wp:extent cx="2859618" cy="2667000"/>
            <wp:effectExtent l="0" t="0" r="0" b="0"/>
            <wp:wrapSquare wrapText="bothSides"/>
            <wp:docPr id="9" name="Grafik 8">
              <a:extLst xmlns:a="http://schemas.openxmlformats.org/drawingml/2006/main">
                <a:ext uri="{FF2B5EF4-FFF2-40B4-BE49-F238E27FC236}">
                  <a16:creationId xmlns:a16="http://schemas.microsoft.com/office/drawing/2014/main" id="{C0EF9CE0-2A18-F513-4690-BF3016F55D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rafik 8">
                      <a:extLst>
                        <a:ext uri="{FF2B5EF4-FFF2-40B4-BE49-F238E27FC236}">
                          <a16:creationId xmlns:a16="http://schemas.microsoft.com/office/drawing/2014/main" id="{C0EF9CE0-2A18-F513-4690-BF3016F55D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491" t="30948" r="20826" b="23265"/>
                    <a:stretch/>
                  </pic:blipFill>
                  <pic:spPr>
                    <a:xfrm>
                      <a:off x="0" y="0"/>
                      <a:ext cx="2859618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B948DB" w14:textId="54C63046" w:rsidR="0053310C" w:rsidRPr="00546DFE" w:rsidRDefault="0053310C" w:rsidP="0053310C">
      <w:pPr>
        <w:jc w:val="both"/>
        <w:rPr>
          <w:lang w:val="en-US"/>
        </w:rPr>
      </w:pPr>
      <w:r>
        <w:rPr>
          <w:lang w:val="en-US"/>
        </w:rPr>
        <w:t>Bispecific monoclonal antibodies are of increasing importance in the treatment of different diseases like autoimmune disorders or cancer. We have developed a way to engineer additional antigen binding sites into the Fc part of a monoclonal antibody (</w:t>
      </w:r>
      <w:proofErr w:type="spellStart"/>
      <w:r>
        <w:rPr>
          <w:lang w:val="en-US"/>
        </w:rPr>
        <w:t>mAb</w:t>
      </w:r>
      <w:proofErr w:type="spellEnd"/>
      <w:r>
        <w:rPr>
          <w:lang w:val="en-US"/>
        </w:rPr>
        <w:t xml:space="preserve">). These antigen binding Fc parts, also called </w:t>
      </w:r>
      <w:proofErr w:type="spellStart"/>
      <w:r>
        <w:rPr>
          <w:lang w:val="en-US"/>
        </w:rPr>
        <w:t>Fcabs</w:t>
      </w:r>
      <w:proofErr w:type="spellEnd"/>
      <w:r>
        <w:rPr>
          <w:lang w:val="en-US"/>
        </w:rPr>
        <w:t xml:space="preserve"> (</w:t>
      </w:r>
      <w:r w:rsidRPr="00790828">
        <w:rPr>
          <w:u w:val="single"/>
          <w:lang w:val="en-US"/>
        </w:rPr>
        <w:t>Fc</w:t>
      </w:r>
      <w:r>
        <w:rPr>
          <w:lang w:val="en-US"/>
        </w:rPr>
        <w:t xml:space="preserve"> </w:t>
      </w:r>
      <w:r w:rsidRPr="00790828">
        <w:rPr>
          <w:u w:val="single"/>
          <w:lang w:val="en-US"/>
        </w:rPr>
        <w:t>a</w:t>
      </w:r>
      <w:r>
        <w:rPr>
          <w:lang w:val="en-US"/>
        </w:rPr>
        <w:t xml:space="preserve">ntigen </w:t>
      </w:r>
      <w:r w:rsidRPr="00790828">
        <w:rPr>
          <w:u w:val="single"/>
          <w:lang w:val="en-US"/>
        </w:rPr>
        <w:t>b</w:t>
      </w:r>
      <w:r>
        <w:rPr>
          <w:lang w:val="en-US"/>
        </w:rPr>
        <w:t xml:space="preserve">inding) can be used as standalone molecules, as well as building blocks in complete </w:t>
      </w:r>
      <w:proofErr w:type="spellStart"/>
      <w:r>
        <w:rPr>
          <w:lang w:val="en-US"/>
        </w:rPr>
        <w:t>mAbs</w:t>
      </w:r>
      <w:proofErr w:type="spellEnd"/>
      <w:r>
        <w:rPr>
          <w:lang w:val="en-US"/>
        </w:rPr>
        <w:t>, creating bispecific, tetravalent antibodies, also called mAb</w:t>
      </w:r>
      <w:r w:rsidRPr="00A83326">
        <w:rPr>
          <w:vertAlign w:val="superscript"/>
          <w:lang w:val="en-US"/>
        </w:rPr>
        <w:t>2</w:t>
      </w:r>
      <w:r>
        <w:rPr>
          <w:lang w:val="en-US"/>
        </w:rPr>
        <w:t>. In my presentation, I will explain how this technology works, how it can be applied, and how the company F-star Therapeutics has developed since 2006.</w:t>
      </w:r>
      <w:r w:rsidRPr="00EB1772">
        <w:rPr>
          <w:b/>
          <w:bCs/>
          <w:noProof/>
          <w:lang w:val="en-GB"/>
        </w:rPr>
        <w:t xml:space="preserve"> </w:t>
      </w:r>
    </w:p>
    <w:p w14:paraId="4B6BF7EE" w14:textId="3D6FD520" w:rsidR="00C775BD" w:rsidRPr="0053310C" w:rsidRDefault="0053310C">
      <w:pPr>
        <w:rPr>
          <w:lang w:val="en-US"/>
        </w:rPr>
      </w:pPr>
      <w:r w:rsidRPr="0053310C">
        <w:rPr>
          <w:b/>
          <w:bCs/>
          <w:noProof/>
          <w:sz w:val="32"/>
          <w:szCs w:val="32"/>
          <w:lang w:val="en-GB"/>
        </w:rPr>
        <w:drawing>
          <wp:anchor distT="0" distB="0" distL="114300" distR="114300" simplePos="0" relativeHeight="251659264" behindDoc="1" locked="0" layoutInCell="1" allowOverlap="1" wp14:anchorId="7BFF3866" wp14:editId="6461A239">
            <wp:simplePos x="0" y="0"/>
            <wp:positionH relativeFrom="margin">
              <wp:align>right</wp:align>
            </wp:positionH>
            <wp:positionV relativeFrom="paragraph">
              <wp:posOffset>149860</wp:posOffset>
            </wp:positionV>
            <wp:extent cx="1800225" cy="550545"/>
            <wp:effectExtent l="0" t="0" r="9525" b="1905"/>
            <wp:wrapTight wrapText="bothSides">
              <wp:wrapPolygon edited="0">
                <wp:start x="0" y="0"/>
                <wp:lineTo x="0" y="20927"/>
                <wp:lineTo x="21486" y="20927"/>
                <wp:lineTo x="21486" y="0"/>
                <wp:lineTo x="0" y="0"/>
              </wp:wrapPolygon>
            </wp:wrapTight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550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inline distT="0" distB="0" distL="0" distR="0" wp14:anchorId="369BB984" wp14:editId="274FE93A">
            <wp:extent cx="1951795" cy="666750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160" cy="6675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775BD" w:rsidRPr="0053310C" w:rsidSect="005B701C"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10C"/>
    <w:rsid w:val="0053310C"/>
    <w:rsid w:val="008F5CEF"/>
    <w:rsid w:val="00C77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2B41BF"/>
  <w15:chartTrackingRefBased/>
  <w15:docId w15:val="{140E97DB-2979-42BB-AC53-5F10C602E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144</Words>
  <Characters>870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Joanna Olejniczak</dc:creator>
  <cp:keywords/>
  <dc:description/>
  <cp:lastModifiedBy>Joanna Olejniczak</cp:lastModifiedBy>
  <cp:revision>1</cp:revision>
  <cp:lastPrinted>2023-04-13T07:54:00Z</cp:lastPrinted>
  <dcterms:created xsi:type="dcterms:W3CDTF">2023-04-13T07:26:00Z</dcterms:created>
  <dcterms:modified xsi:type="dcterms:W3CDTF">2023-04-13T08:07:00Z</dcterms:modified>
</cp:coreProperties>
</file>